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3be74b2a8911473b"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221</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Râmnicului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I.4 INVESTIȚII NON-AGRICOLE PENTRU FEMEI ȘI/SAU TINERI (18-30 ANI)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Investiția trebuie să se încadreze în una din acțiunile de sprijinprevăzute în acest ghid.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planul de afaceri actiunile eligibile prevăzute în FișaIntervenției I4 și cele asumate de solicitant în conformitate cu listacodurilor CAEN eligibile aprobate de AFIR- Anexa 4 la Ghidulsolicitantului-lista-codurilor-caen-aferente-activitatilor neagricole eligibile.Acțiuni eligibile sunt:1. diversificarea economiei rurale prin creşterea numărului de afaceri în sectorul non-agricol, dezvoltarea producției, activitatilor mestesugaresti si serviciilor, în spațiul rural;2. incurajarea mentinerii si dezvoltarii activitatilor non-agricole;2. digitalizarea activităților din mediul rural;3. încurajarea acțiunilor de protecție a mediului4. achiziția de linii producție, echipamente/utilaje precum și dotarea cumobilier;5. actiuni inovative in context local.Toate activitățile start-up-urilor se vor finanța în baza Planului de afaceri asumat de solicitant.Planul de afaceri trebuie să aibă structura minima obligatorie prevazuta in Anexa 1 - Model-plan-de-afaceri.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Investiția trebuie să fie realizată în teritoriul GAL Valea Râmnicului.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        Se verifică punctul A8 - Amplasarea proiectului din Cererea definanțare, dacă locul unde se realizează investiția pentru care se solicităfinanțare este amplasat în teritoriul GAL Valea Ramnicului.       Solicitantul trebuie să prezinte documente justificative care atestălocația exactă a investiției (ex.: extras de carte funciară, certificat deurbanism, plan de situație);        Se verifică în Planul de afaceri, actele juridice de înființare și funcționare, certificatul de înregistrare fiscală.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trebuie să facăparte din categoriabeneficiarilor eligibili, iaracționariatul solicitantuluitrebuie să fie doar din femei și/sau tineri (18-30 ani) și va crea celpuțin 1 loc de muncă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      Se considera indeplinit acest criteriu de eligibilitate, daca, se indeplinesc cumulativ, urmatoarele conditii: - Solicitantul trebuie să facă parte din categoria beneficiarilor eligibili, iaracționariatul solicitantului trebuie să fie doar din femei și/sau tineri (18-30 ani) - Se verifică secțiunea B2(B2.1) din Cererea de finanțare; Se verifică datele din certificatul ONRC și copia CI-ul administratorului care trebuie să fie tânăr cu vârsta între 18 și 30 de ani sau să fie de genul feminin (femeie).- se va crea cel putin un loc de munca - se va verifica Planul de afaceri la sectiunea aferenta resurselor umane daca solicitantul isi propune crearea de locuri de munca.Important: În cazul femeilor, acestea pot depăși vârsta de 30 ani.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nu trebuie să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1. Se verifică Situaţiile financiare sau Declarația de inactivitateînregistrată la ANAF, în cazul solicitanților care nu au desfășuratactivitate anterior depunerii proiectului.2. Asumarea declarației pe propria răspundere conform punctului 16 dinsectiunea F a Cererii de Finantare.GAL va transmite o solicitare către OJFIR de care aparține, prin care vasolicita informațiile menționate în cadrul fișelor de verificare a condițiilorde eligibilitate și de selecție, necesare evaluării proiectelor (documente/baze de date de uz intern ale Agenției: Registrul debitorilor, BuletinulProcedurilor de Insolvență).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Întreprindere de tip start-up neagricol care promovează o activitate non-agricolă care nu a mai fost desfășurată niciodată anterior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vor verifica Planul de afaceri și informațiile din Cererea de Finanțare, astfel:1. Pentru entitățile nou înființate:-certificatul constatator, certificat de înregistrare fiscală-declarație întocmită și asumată prin semnătură(datată,nume și prenumeîn clar, nr înregistrare document la emitent) de către un expert contabil din care să reiasă faptul că întreprinderea nu a desfășurat niciodată activitatea pentru care se solictă finanțare.2. Pentru entitățile înființate în ultimii 3 ani fiscali:-certificatul constatator, certificat de înregistrare fiscală-declarație de inactivitate depuse la ANAF-declarație întocmită și asumată prin semnătură(datată,nume și prenume în clar, nr înregistrare document la emitent) de către un expert contabil din care să reiasă faptul că întreprinderea nu a desfășurat în ultimii 3 ani fiscali activitatea pentru care se solictă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Proiectul propus este inconformitate cu normele de mediu aflate in vigoare la nivel național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     Se va verifica Anexa 7 - Declaratia pe propria raspundere a solicitantului.     În raport cu respectarea cadrului legislativ national aplicabil pentru proiectele de tip start-up beneficiarii vor avea obligaţia de a prezenta la contractare Clasarea notificării sau Decizia etapei de evaluare iniţială şi până la prima tranşă de plata documentul final respectiv: Decizia etapei de încadrare ca document final Acord de mediu (dacă e cazul).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Solicitantul se angajează ca activele corporale şi necorporale rezultatedin implementarea proiectului să fie incluse în categoria activelor proprii ale beneficiarului şi să fie utilizate pentru activitatea care abeneficiat de finanţarenerambursabilă pentru minimum 5 ani de la data efectuării ultimei plăţi.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Îndeplinirea acestei condiții va fi demonstrată în baza Deciziei asociatului  unic/Hotărârii AGA pentru aprobarea și implementarea proiectului prin care se angajează ca la finalizarea proiectului activele corporale și necorporale rezultate din implementarea proiectului să fie incluse în categoria activelor proprii ale beneficiarului şi să fie utilizate pentru activitatea care a beneficiat de finanţare nerambursabilă pentru minimum 5 ani de la data efectuării ultimei plăţi..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Sediul social si/sau punctul delucru sa fie in teritoriul GAL Valea Ramnicului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Certificatul de inregistrare fiscala/ Raport istoric  ONRC dacă sediul social al solicitantului este în teritoriul GAL Valea Ramnicului și documentele menționate menționate/atașate la Cererea de Finanțare (Sectiunea B 1.2) in functie de tipul beneficiarului.</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Principiul prioritizării activităților (de producție, activitati mestesugaresti si servicii);</w:t>
            </w:r>
          </w:p>
        </w:tc>
        <w:tc>
          <w:tcPr>
            <w:shd w:val="clear" w:color="auto" w:fill="CCE1DB"/>
            <w:vAlign w:val="center"/>
          </w:tcPr>
          <w:p>
            <w:pPr>
              <w:spacing w:line="360" w:lineRule="auto"/>
              <w:ind w:left="0" w:right="0" w:firstLine="493"/>
            </w:pPr>
            <w:r>
              <w:rPr>
                <w:rFonts w:ascii="Cambria Bold" w:hAnsi="Cambria Bold"/>
                <w:b/>
                <w:color w:val="014935"/>
                <w:sz w:val="24"/>
              </w:rPr>
              <w:t>60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Proiecte care propun investitii in activitati economice de producție  </w:t>
            </w:r>
          </w:p>
        </w:tc>
        <w:tc>
          <w:tcPr>
            <w:vAlign w:val="center"/>
          </w:tcPr>
          <w:p>
            <w:pPr>
              <w:keepNext/>
              <w:jc w:val="center"/>
            </w:pPr>
            <w:r>
              <w:rPr>
                <w:rFonts w:ascii="Cambria" w:hAnsi="Cambria"/>
                <w:b w:val="false"/>
                <w:sz w:val="24"/>
              </w:rPr>
              <w:t>60</w:t>
            </w:r>
          </w:p>
        </w:tc>
        <w:tc>
          <w:tcPr>
            <w:vAlign w:val="center"/>
          </w:tcPr>
          <w:p/>
        </w:tc>
        <w:tc>
          <w:tcPr>
            <w:vAlign w:val="center"/>
          </w:tcPr>
          <w:p/>
        </w:tc>
      </w:tr>
      <w:tr>
        <w:trPr/>
        <w:tc>
          <w:tcPr>
            <w:gridSpan w:val="5"/>
            <w:shd w:val="clear" w:color="auto" w:fill="DDDDDD"/>
            <w:vAlign w:val="center"/>
          </w:tcPr>
          <w:p>
            <w:pPr>
              <w:pStyle w:val="ListParagraph"/>
              <w:numPr>
                <w:ilvl w:val="0"/>
                <w:numId w:val="2"/>
              </w:numPr>
            </w:pPr>
            <w:r>
              <w:rPr>
                <w:rFonts w:ascii="Cambria" w:hAnsi="Cambria"/>
                <w:b w:val="false"/>
                <w:sz w:val="24"/>
              </w:rPr>
              <w:t>Se verifică în planul de afaceri codul CAEN propus pentru finanțare. Codul CAEN trebuie să corespundă activității pentru care se solicită finanțare/să fie înclus în lista codurilor CAEN eligibile pentru finanțare.</w:t>
            </w:r>
          </w:p>
          <w:p>
            <w:pPr>
              <w:pStyle w:val="ListParagraph"/>
              <w:numPr>
                <w:ilvl w:val="0"/>
                <w:numId w:val="2"/>
              </w:numPr>
            </w:pPr>
            <w:r>
              <w:rPr>
                <w:rFonts w:ascii="Cambria" w:hAnsi="Cambria"/>
                <w:b w:val="false"/>
                <w:sz w:val="24"/>
              </w:rPr>
              <w:t>Lista codurilor CAEN eligibile aprobate de AFIR- Anexa 4 la Ghidul solicitantului-lista-codurilor-caen-aferenteactivitatilor-neagricole-eligibile</w:t>
            </w:r>
          </w:p>
          <w:p>
            <w:pPr>
              <w:pStyle w:val="ListParagraph"/>
              <w:numPr>
                <w:ilvl w:val="0"/>
                <w:numId w:val="2"/>
              </w:numPr>
            </w:pPr>
            <w:r>
              <w:rPr>
                <w:rFonts w:ascii="Cambria" w:hAnsi="Cambria"/>
                <w:b w:val="false"/>
                <w:sz w:val="24"/>
              </w:rPr>
              <w:t>Se verifică informațiile din Secțiunea B - Cerere de Finanțare pentru proiecte start-up neagricol.</w:t>
            </w:r>
          </w:p>
          <w:p>
            <w:r>
              <w:rPr>
                <w:rFonts w:ascii="Cambria" w:hAnsi="Cambria"/>
                <w:b w:val="false"/>
                <w:sz w:val="24"/>
              </w:rPr>
              <w:t>Documente verificate: Certificatul constatator eliberat de Oficiul Registrului Comerțului, care atestă codul CAENautorizat; Certificat de inregistrare fiscală, Act constitutiv/Statut.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Proiecte prin care se întiințează activități economice meșteșugărești</w:t>
            </w:r>
          </w:p>
        </w:tc>
        <w:tc>
          <w:tcPr>
            <w:vAlign w:val="center"/>
          </w:tcPr>
          <w:p>
            <w:pPr>
              <w:keepNext/>
              <w:jc w:val="center"/>
            </w:pPr>
            <w:r>
              <w:rPr>
                <w:rFonts w:ascii="Cambria" w:hAnsi="Cambria"/>
                <w:b w:val="false"/>
                <w:sz w:val="24"/>
              </w:rPr>
              <w:t>50</w:t>
            </w:r>
          </w:p>
        </w:tc>
        <w:tc>
          <w:tcPr>
            <w:vAlign w:val="center"/>
          </w:tcPr>
          <w:p/>
        </w:tc>
        <w:tc>
          <w:tcPr>
            <w:vAlign w:val="center"/>
          </w:tcPr>
          <w:p/>
        </w:tc>
      </w:tr>
      <w:tr>
        <w:trPr/>
        <w:tc>
          <w:tcPr>
            <w:gridSpan w:val="5"/>
            <w:shd w:val="clear" w:color="auto" w:fill="DDDDDD"/>
            <w:vAlign w:val="center"/>
          </w:tcPr>
          <w:p>
            <w:pPr>
              <w:pStyle w:val="ListParagraph"/>
              <w:numPr>
                <w:ilvl w:val="0"/>
                <w:numId w:val="2"/>
              </w:numPr>
            </w:pPr>
            <w:r>
              <w:rPr>
                <w:rFonts w:ascii="Cambria" w:hAnsi="Cambria"/>
                <w:b w:val="false"/>
                <w:sz w:val="24"/>
              </w:rPr>
              <w:t>Se verifică în planul de afaceri codul CAEN propus pentru finanțare. Codul CAEN trebuie să corespundă activității pentru care se solicită finanțare/să fie înclus în lista codurilor CAEN eligibile pentru finanțare.</w:t>
            </w:r>
          </w:p>
          <w:p>
            <w:pPr>
              <w:pStyle w:val="ListParagraph"/>
              <w:numPr>
                <w:ilvl w:val="0"/>
                <w:numId w:val="2"/>
              </w:numPr>
            </w:pPr>
            <w:r>
              <w:rPr>
                <w:rFonts w:ascii="Cambria" w:hAnsi="Cambria"/>
                <w:b w:val="false"/>
                <w:sz w:val="24"/>
              </w:rPr>
              <w:t>Lista codurilor CAEN eligibile aprobate de AFIR- Anexa 4 la Ghidul solicitantului-lista-codurilor-caen-aferenteactivitatilor-neagricole-eligibile</w:t>
            </w:r>
          </w:p>
          <w:p>
            <w:pPr>
              <w:pStyle w:val="ListParagraph"/>
              <w:numPr>
                <w:ilvl w:val="0"/>
                <w:numId w:val="2"/>
              </w:numPr>
            </w:pPr>
            <w:r>
              <w:rPr>
                <w:rFonts w:ascii="Cambria" w:hAnsi="Cambria"/>
                <w:b w:val="false"/>
                <w:sz w:val="24"/>
              </w:rPr>
              <w:t>Se verifică informațiile din Secțiunea B - Cerere de Finanțare pentru proiecte start-up neagricol.</w:t>
            </w:r>
          </w:p>
          <w:p>
            <w:r>
              <w:rPr>
                <w:rFonts w:ascii="Cambria" w:hAnsi="Cambria"/>
                <w:b w:val="false"/>
                <w:sz w:val="24"/>
              </w:rPr>
              <w:t>Documente verificate: Certificatul constatator eliberat de Oficiul Registrului Comerțului, care atestă codul CAENautorizat; Certificat de inregistrare fiscală, Act constitutiv/Statut.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1.3</w:t>
            </w:r>
          </w:p>
        </w:tc>
        <w:tc>
          <w:tcPr>
            <w:shd w:val="clear" w:color="auto" w:fill="F8ECD2"/>
            <w:vAlign w:val="center"/>
          </w:tcPr>
          <w:p>
            <w:r>
              <w:rPr>
                <w:rFonts w:ascii="Cambria" w:hAnsi="Cambria"/>
                <w:b w:val="false"/>
                <w:color w:val="58400C"/>
                <w:sz w:val="24"/>
              </w:rPr>
              <w:t>Proiecte care propun investitii in activitati de servicii </w:t>
            </w:r>
          </w:p>
        </w:tc>
        <w:tc>
          <w:tcPr>
            <w:vAlign w:val="center"/>
          </w:tcPr>
          <w:p>
            <w:pPr>
              <w:keepNext/>
              <w:jc w:val="center"/>
            </w:pPr>
            <w:r>
              <w:rPr>
                <w:rFonts w:ascii="Cambria" w:hAnsi="Cambria"/>
                <w:b w:val="false"/>
                <w:sz w:val="24"/>
              </w:rPr>
              <w:t>40 </w:t>
            </w:r>
          </w:p>
        </w:tc>
        <w:tc>
          <w:tcPr>
            <w:vAlign w:val="center"/>
          </w:tcPr>
          <w:p/>
        </w:tc>
        <w:tc>
          <w:tcPr>
            <w:vAlign w:val="center"/>
          </w:tcPr>
          <w:p/>
        </w:tc>
      </w:tr>
      <w:tr>
        <w:trPr/>
        <w:tc>
          <w:tcPr>
            <w:gridSpan w:val="5"/>
            <w:shd w:val="clear" w:color="auto" w:fill="DDDDDD"/>
            <w:vAlign w:val="center"/>
          </w:tcPr>
          <w:p>
            <w:pPr>
              <w:pStyle w:val="ListParagraph"/>
              <w:numPr>
                <w:ilvl w:val="0"/>
                <w:numId w:val="2"/>
              </w:numPr>
            </w:pPr>
            <w:r>
              <w:rPr>
                <w:rFonts w:ascii="Cambria" w:hAnsi="Cambria"/>
                <w:b w:val="false"/>
                <w:sz w:val="24"/>
              </w:rPr>
              <w:t>Se verifică în planul de afaceri codul CAEN propus pentru finanțare. Codul CAEN trebuie să corespundă activității pentru care se solicită finanțare/să fie înclus în lista codurilor CAEN eligibile pentru finanțare.</w:t>
            </w:r>
          </w:p>
          <w:p>
            <w:pPr>
              <w:pStyle w:val="ListParagraph"/>
              <w:numPr>
                <w:ilvl w:val="0"/>
                <w:numId w:val="2"/>
              </w:numPr>
            </w:pPr>
            <w:r>
              <w:rPr>
                <w:rFonts w:ascii="Cambria" w:hAnsi="Cambria"/>
                <w:b w:val="false"/>
                <w:sz w:val="24"/>
              </w:rPr>
              <w:t>Lista codurilor CAEN eligibile aprobate de AFIR- Anexa 4 la Ghidul solicitantului-lista-codurilor-caen-aferenteactivitatilor-neagricole-eligibile</w:t>
            </w:r>
          </w:p>
          <w:p>
            <w:pPr>
              <w:pStyle w:val="ListParagraph"/>
              <w:numPr>
                <w:ilvl w:val="0"/>
                <w:numId w:val="2"/>
              </w:numPr>
            </w:pPr>
            <w:r>
              <w:rPr>
                <w:rFonts w:ascii="Cambria" w:hAnsi="Cambria"/>
                <w:b w:val="false"/>
                <w:sz w:val="24"/>
              </w:rPr>
              <w:t>Se verifică informațiile din Secțiunea B - Cerere de Finanțare pentru proiecte start-up neagricol.</w:t>
            </w:r>
          </w:p>
          <w:p>
            <w:r>
              <w:rPr>
                <w:rFonts w:ascii="Cambria" w:hAnsi="Cambria"/>
                <w:b w:val="false"/>
                <w:sz w:val="24"/>
              </w:rPr>
              <w:t>Documente verificate: Certificatul constatator eliberat de Oficiul Registrului Comerțului, care atestă codul CAENautorizat; Certificat de inregistrare fiscală, Act constitutiv/Statut.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Intervenția vizează operațiuni inovative în context local</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Utilizarea mijloacelor de digitalizare pentru eficientizarea activității (min.5% din valoarea investitiei de baza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 operațiune este inovativă în context local atunci când aduce o tehnologie sau un model de afaceri nou pentru zona respectivă, chiar dacă soluția există la nivel global. </w:t>
            </w:r>
          </w:p>
          <w:p>
            <w:pPr>
              <w:spacing w:line="360" w:lineRule="auto"/>
              <w:ind w:left="0" w:right="0" w:firstLine="493"/>
            </w:pPr>
            <w:r>
              <w:rPr>
                <w:rFonts w:ascii="Cambria" w:hAnsi="Cambria"/>
                <w:b w:val="false"/>
                <w:sz w:val="24"/>
              </w:rPr>
              <w:t>Sunt prioritizate proiectele care propun în Planul de afaceri:</w:t>
            </w:r>
          </w:p>
          <w:p>
            <w:pPr>
              <w:spacing w:line="360" w:lineRule="auto"/>
              <w:ind w:left="0" w:right="0" w:firstLine="493"/>
            </w:pPr>
            <w:r>
              <w:rPr>
                <w:rFonts w:ascii="Cambria" w:hAnsi="Cambria"/>
                <w:b w:val="false"/>
                <w:sz w:val="24"/>
              </w:rPr>
              <w:t>- mijloace de digitalizare de tip software sau hardware și programe ce vor fi folosite pentru realizarea producției, prestarea serviciilor propuse spre finanțare și/ sau comercializarea producției realizate (de exemplu: sisteme informatice(soft+hard)/ soft/ programe pentru automatizarea producției. (de exemplu: soft de funcționare a liniei tehnologice de fabricație/ producție, soft de automatizare a procesării documentelor, crearea de platforme pentru vânzări/ rezervări/ închiriere on-line, sisteme informatice (soft+hard)/ soft/ programe destinat serviciilor personalizate pt. activitatea desfășurată etc) (de exemplu: soft diagnosticare defecțiuni pentru service auto, soft creare bază date pacienți/clienți etc),</w:t>
            </w:r>
          </w:p>
          <w:p>
            <w:pPr>
              <w:spacing w:line="360" w:lineRule="auto"/>
              <w:ind w:left="0" w:right="0" w:firstLine="493"/>
            </w:pPr>
            <w:r>
              <w:rPr>
                <w:rFonts w:ascii="Cambria" w:hAnsi="Cambria"/>
                <w:b w:val="false"/>
                <w:sz w:val="24"/>
              </w:rPr>
              <w:t>- management energetic (un set de activități de organizare, conducere și planificare a proceselor energetice pentru a asigura un consum eficient și a maximiza profitul prin reducerea costurilor),</w:t>
            </w:r>
          </w:p>
          <w:p>
            <w:pPr>
              <w:spacing w:line="360" w:lineRule="auto"/>
              <w:ind w:left="0" w:right="0" w:firstLine="493"/>
            </w:pPr>
            <w:r>
              <w:rPr>
                <w:rFonts w:ascii="Cambria" w:hAnsi="Cambria"/>
                <w:b w:val="false"/>
                <w:sz w:val="24"/>
              </w:rPr>
              <w:t>- automatizarea proceselor interne (Automatizarea proceselor de business  </w:t>
            </w:r>
            <w:r>
              <w:rPr>
                <w:rFonts w:ascii="Cambria" w:hAnsi="Cambria"/>
                <w:b w:val="false"/>
                <w:sz w:val="24"/>
              </w:rPr>
              <w:t>se</w:t>
            </w:r>
            <w:r>
              <w:rPr>
                <w:rFonts w:ascii="Cambria" w:hAnsi="Cambria"/>
                <w:b w:val="false"/>
                <w:sz w:val="24"/>
              </w:rPr>
              <w:t>  referă  </w:t>
            </w:r>
            <w:r>
              <w:rPr>
                <w:rFonts w:ascii="Cambria" w:hAnsi="Cambria"/>
                <w:b w:val="false"/>
                <w:sz w:val="24"/>
              </w:rPr>
              <w:t>la</w:t>
            </w:r>
            <w:r>
              <w:rPr>
                <w:rFonts w:ascii="Cambria" w:hAnsi="Cambria"/>
                <w:b w:val="false"/>
                <w:sz w:val="24"/>
              </w:rPr>
              <w:t>  utilizarea tehnologiei și a sistemelor informatice pentru a înlocui  </w:t>
            </w:r>
            <w:r>
              <w:rPr>
                <w:rFonts w:ascii="Cambria" w:hAnsi="Cambria"/>
                <w:b w:val="false"/>
                <w:sz w:val="24"/>
              </w:rPr>
              <w:t>sau</w:t>
            </w:r>
            <w:r>
              <w:rPr>
                <w:rFonts w:ascii="Cambria" w:hAnsi="Cambria"/>
                <w:b w:val="false"/>
                <w:sz w:val="24"/>
              </w:rPr>
              <w:t>  a sprijini sarcinile și activitățile manuale repetitive  </w:t>
            </w:r>
            <w:r>
              <w:rPr>
                <w:rFonts w:ascii="Cambria" w:hAnsi="Cambria"/>
                <w:b w:val="false"/>
                <w:sz w:val="24"/>
              </w:rPr>
              <w:t>din</w:t>
            </w:r>
            <w:r>
              <w:rPr>
                <w:rFonts w:ascii="Cambria" w:hAnsi="Cambria"/>
                <w:b w:val="false"/>
                <w:sz w:val="24"/>
              </w:rPr>
              <w:t>  cadrul proceselor operaționale ale unei companii. Scopul este acela de a îmbunătăți eficiența, precizia, consistența și scalabilitatea  </w:t>
            </w:r>
            <w:r>
              <w:rPr>
                <w:rFonts w:ascii="Cambria" w:hAnsi="Cambria"/>
                <w:b w:val="false"/>
                <w:sz w:val="24"/>
              </w:rPr>
              <w:t>operațiunilor</w:t>
            </w:r>
            <w:r>
              <w:rPr>
                <w:rFonts w:ascii="Cambria" w:hAnsi="Cambria"/>
                <w:b w:val="false"/>
                <w:sz w:val="24"/>
              </w:rPr>
              <w:t>)</w:t>
            </w:r>
          </w:p>
          <w:p>
            <w:pPr>
              <w:spacing w:line="360" w:lineRule="auto"/>
              <w:ind w:left="0" w:right="0" w:firstLine="493"/>
            </w:pPr>
            <w:r>
              <w:rPr>
                <w:rFonts w:ascii="Cambria Bold" w:hAnsi="Cambria Bold"/>
                <w:b/>
                <w:color w:val="000000"/>
                <w:sz w:val="24"/>
              </w:rPr>
              <w:t>  </w:t>
            </w:r>
            <w:r>
              <w:rPr>
                <w:rFonts w:ascii="Cambria Bold" w:hAnsi="Cambria Bold"/>
                <w:b/>
                <w:sz w:val="24"/>
              </w:rPr>
              <w:t>intr-un procent de min.5% din valoarea investitiei de baza.</w:t>
            </w:r>
          </w:p>
          <w:p>
            <w:pPr>
              <w:spacing w:line="360" w:lineRule="auto"/>
              <w:ind w:left="0" w:right="0" w:firstLine="493"/>
            </w:pPr>
            <w:r>
              <w:rPr>
                <w:rFonts w:ascii="Cambria" w:hAnsi="Cambria"/>
                <w:b w:val="false"/>
                <w:sz w:val="24"/>
              </w:rPr>
              <w:t>Acest lucru se verifică în planul de afaceri.</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Numărul de locuri de muncă create prin proiect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Sunt prioritizate proiectele care propun crearea unui număr de locuri de muncă mai mare.Departajarea proiectelor cu acelaşi punctaj se face descrescător după numărul de locuri de muncă create prin proiect. Acest lucru se verifică în planul de afaceri.Pentru a cuantifica un loc de muncă acesta trebuie să fie cu normă întreagă (8h/zi). Locurile de muncă ce au fost create prin proiect trebuie  menținute pe o durată de cel puțin 3 ani de la implementarea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Procentul din valoarea investitiei care se foloseste in operațiuni inovative în context local</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selecta proiectele in ordinea descrescatoare a procentului rezultat din valoarea investitiilor aferente operatiunilor invoative in context raportat la valoarea eligibila a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3</w:t>
            </w:r>
          </w:p>
        </w:tc>
        <w:tc>
          <w:tcPr>
            <w:shd w:val="clear" w:color="auto" w:fill="F8ECD2"/>
            <w:vAlign w:val="center"/>
          </w:tcPr>
          <w:p>
            <w:r>
              <w:rPr>
                <w:rFonts w:ascii="Cambria" w:hAnsi="Cambria"/>
                <w:b w:val="false"/>
                <w:color w:val="58400C"/>
                <w:sz w:val="24"/>
              </w:rPr>
              <w:t>Nivelul studiilor absolvitede către solicitant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documentele privind studiile solicitantului anexate cererii de finanțare.Vor fi prioritizati solicitantii cu studii superioare. Daca și in cazul acesta vor exista 2 solicitanti cu studii superioare cu punctaj egal va fi selectat cel cu studii in domeniul pentru care depune cererea de finanțare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ecd4e1a79260426c" /><Relationship Type="http://schemas.openxmlformats.org/officeDocument/2006/relationships/numbering" Target="/word/numbering.xml" Id="R95c6bda6e970412d" /></Relationships>
</file>